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FB13F" w14:textId="77777777" w:rsidR="00491D40" w:rsidRDefault="0037525F">
      <w:pPr>
        <w:pStyle w:val="Title"/>
        <w:jc w:val="center"/>
      </w:pPr>
      <w:bookmarkStart w:id="0" w:name="_gjdgxs" w:colFirst="0" w:colLast="0"/>
      <w:bookmarkEnd w:id="0"/>
      <w:r>
        <w:t xml:space="preserve">People and Places: </w:t>
      </w:r>
    </w:p>
    <w:p w14:paraId="0D3F83A7" w14:textId="77777777" w:rsidR="00491D40" w:rsidRDefault="0037525F">
      <w:pPr>
        <w:pStyle w:val="Title"/>
        <w:jc w:val="center"/>
      </w:pPr>
      <w:bookmarkStart w:id="1" w:name="_ei03s19ko63i" w:colFirst="0" w:colLast="0"/>
      <w:bookmarkEnd w:id="1"/>
      <w:r>
        <w:t>Slavery, Segregation, and Freedom in the Horse Industry</w:t>
      </w:r>
    </w:p>
    <w:p w14:paraId="58AA45E7" w14:textId="77777777" w:rsidR="00491D40" w:rsidRDefault="0037525F">
      <w:pPr>
        <w:jc w:val="center"/>
        <w:rPr>
          <w:sz w:val="24"/>
          <w:szCs w:val="24"/>
        </w:rPr>
      </w:pPr>
      <w:r>
        <w:rPr>
          <w:sz w:val="24"/>
          <w:szCs w:val="24"/>
        </w:rPr>
        <w:t>Created by Andrew Johnson</w:t>
      </w:r>
    </w:p>
    <w:p w14:paraId="17489D84" w14:textId="77777777" w:rsidR="00491D40" w:rsidRDefault="0037525F">
      <w:pPr>
        <w:jc w:val="center"/>
        <w:rPr>
          <w:sz w:val="24"/>
          <w:szCs w:val="24"/>
        </w:rPr>
      </w:pPr>
      <w:r>
        <w:rPr>
          <w:sz w:val="24"/>
          <w:szCs w:val="24"/>
        </w:rPr>
        <w:t xml:space="preserve">for </w:t>
      </w:r>
    </w:p>
    <w:p w14:paraId="57CF8853" w14:textId="77777777" w:rsidR="00491D40" w:rsidRDefault="0037525F">
      <w:pPr>
        <w:jc w:val="center"/>
        <w:rPr>
          <w:sz w:val="24"/>
          <w:szCs w:val="24"/>
        </w:rPr>
      </w:pPr>
      <w:r>
        <w:rPr>
          <w:sz w:val="24"/>
          <w:szCs w:val="24"/>
        </w:rPr>
        <w:t>The Chronicle of African Americans in the Horse Industry</w:t>
      </w:r>
    </w:p>
    <w:p w14:paraId="4FADBAE8" w14:textId="77777777" w:rsidR="00491D40" w:rsidRDefault="0037525F">
      <w:pPr>
        <w:ind w:firstLine="720"/>
        <w:jc w:val="center"/>
        <w:rPr>
          <w:b/>
          <w:sz w:val="20"/>
          <w:szCs w:val="20"/>
          <w:highlight w:val="white"/>
        </w:rPr>
      </w:pPr>
      <w:r>
        <w:rPr>
          <w:sz w:val="24"/>
          <w:szCs w:val="24"/>
        </w:rPr>
        <w:t>www.AfricanAmericanHorseStories.org</w:t>
      </w:r>
      <w:r>
        <w:rPr>
          <w:i/>
          <w:sz w:val="18"/>
          <w:szCs w:val="18"/>
        </w:rPr>
        <w:tab/>
      </w:r>
      <w:r>
        <w:rPr>
          <w:i/>
          <w:sz w:val="18"/>
          <w:szCs w:val="18"/>
        </w:rPr>
        <w:tab/>
      </w:r>
      <w:r>
        <w:rPr>
          <w:i/>
          <w:sz w:val="18"/>
          <w:szCs w:val="18"/>
        </w:rPr>
        <w:tab/>
      </w:r>
    </w:p>
    <w:p w14:paraId="56E83F8E" w14:textId="77777777" w:rsidR="00491D40" w:rsidRDefault="00491D40">
      <w:pPr>
        <w:rPr>
          <w:sz w:val="20"/>
          <w:szCs w:val="20"/>
          <w:highlight w:val="white"/>
        </w:rPr>
      </w:pPr>
    </w:p>
    <w:tbl>
      <w:tblPr>
        <w:tblStyle w:val="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91D40" w14:paraId="3C736DB1" w14:textId="77777777">
        <w:trPr>
          <w:trHeight w:val="760"/>
        </w:trPr>
        <w:tc>
          <w:tcPr>
            <w:tcW w:w="10800" w:type="dxa"/>
            <w:shd w:val="clear" w:color="auto" w:fill="F4CCCC"/>
            <w:tcMar>
              <w:top w:w="100" w:type="dxa"/>
              <w:left w:w="100" w:type="dxa"/>
              <w:bottom w:w="100" w:type="dxa"/>
              <w:right w:w="100" w:type="dxa"/>
            </w:tcMar>
          </w:tcPr>
          <w:p w14:paraId="26DB0C4B" w14:textId="77777777" w:rsidR="00491D40" w:rsidRDefault="0037525F">
            <w:pPr>
              <w:widowControl w:val="0"/>
              <w:spacing w:line="240" w:lineRule="auto"/>
              <w:jc w:val="center"/>
              <w:rPr>
                <w:b/>
                <w:sz w:val="48"/>
                <w:szCs w:val="48"/>
              </w:rPr>
            </w:pPr>
            <w:r>
              <w:rPr>
                <w:b/>
                <w:sz w:val="48"/>
                <w:szCs w:val="48"/>
              </w:rPr>
              <w:t>Summary</w:t>
            </w:r>
          </w:p>
        </w:tc>
      </w:tr>
      <w:tr w:rsidR="00491D40" w14:paraId="500D5F05" w14:textId="77777777">
        <w:tc>
          <w:tcPr>
            <w:tcW w:w="10800" w:type="dxa"/>
            <w:shd w:val="clear" w:color="auto" w:fill="auto"/>
            <w:tcMar>
              <w:top w:w="100" w:type="dxa"/>
              <w:left w:w="100" w:type="dxa"/>
              <w:bottom w:w="100" w:type="dxa"/>
              <w:right w:w="100" w:type="dxa"/>
            </w:tcMar>
          </w:tcPr>
          <w:p w14:paraId="3343EDFA" w14:textId="77777777" w:rsidR="00491D40" w:rsidRDefault="0037525F">
            <w:pPr>
              <w:rPr>
                <w:sz w:val="24"/>
                <w:szCs w:val="24"/>
              </w:rPr>
            </w:pPr>
            <w:r>
              <w:t>This lesson uses a digital map to allow students to examine various individuals in the horse industry. Students will evaluate the sources, and compile evidence to answer the question, “How did the role of African Americans in the horse industry expand on f</w:t>
            </w:r>
            <w:r>
              <w:t>reedom?” Students are formatively assessed on their claims, as well by a synthesis response comparing the student’s claim to the stories provided in one of two Chronicle Themes.</w:t>
            </w:r>
          </w:p>
        </w:tc>
      </w:tr>
    </w:tbl>
    <w:p w14:paraId="2C031C6F" w14:textId="77777777" w:rsidR="00491D40" w:rsidRDefault="00491D40">
      <w:pPr>
        <w:rPr>
          <w:sz w:val="20"/>
          <w:szCs w:val="20"/>
          <w:highlight w:val="white"/>
        </w:rPr>
      </w:pPr>
    </w:p>
    <w:p w14:paraId="0E668B18" w14:textId="77777777" w:rsidR="00491D40" w:rsidRDefault="00491D40">
      <w:pPr>
        <w:rPr>
          <w:sz w:val="20"/>
          <w:szCs w:val="20"/>
          <w:highlight w:val="white"/>
        </w:rPr>
      </w:pPr>
    </w:p>
    <w:tbl>
      <w:tblPr>
        <w:tblStyle w:val="a0"/>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91D40" w14:paraId="15331A47" w14:textId="77777777">
        <w:trPr>
          <w:trHeight w:val="760"/>
        </w:trPr>
        <w:tc>
          <w:tcPr>
            <w:tcW w:w="10800" w:type="dxa"/>
            <w:shd w:val="clear" w:color="auto" w:fill="FCE5CD"/>
            <w:tcMar>
              <w:top w:w="100" w:type="dxa"/>
              <w:left w:w="100" w:type="dxa"/>
              <w:bottom w:w="100" w:type="dxa"/>
              <w:right w:w="100" w:type="dxa"/>
            </w:tcMar>
          </w:tcPr>
          <w:p w14:paraId="0EF2D71D" w14:textId="77777777" w:rsidR="00491D40" w:rsidRDefault="0037525F">
            <w:pPr>
              <w:widowControl w:val="0"/>
              <w:spacing w:line="240" w:lineRule="auto"/>
              <w:jc w:val="center"/>
              <w:rPr>
                <w:b/>
                <w:sz w:val="48"/>
                <w:szCs w:val="48"/>
              </w:rPr>
            </w:pPr>
            <w:r>
              <w:rPr>
                <w:b/>
                <w:sz w:val="48"/>
                <w:szCs w:val="48"/>
              </w:rPr>
              <w:t>Grade Levels, Subjects, Standards</w:t>
            </w:r>
          </w:p>
        </w:tc>
      </w:tr>
      <w:tr w:rsidR="00491D40" w14:paraId="3A4BAD48" w14:textId="77777777">
        <w:tc>
          <w:tcPr>
            <w:tcW w:w="10800" w:type="dxa"/>
            <w:shd w:val="clear" w:color="auto" w:fill="auto"/>
            <w:tcMar>
              <w:top w:w="100" w:type="dxa"/>
              <w:left w:w="100" w:type="dxa"/>
              <w:bottom w:w="100" w:type="dxa"/>
              <w:right w:w="100" w:type="dxa"/>
            </w:tcMar>
          </w:tcPr>
          <w:p w14:paraId="6483C5BF" w14:textId="77777777" w:rsidR="00491D40" w:rsidRDefault="0037525F">
            <w:pPr>
              <w:rPr>
                <w:sz w:val="24"/>
                <w:szCs w:val="24"/>
              </w:rPr>
            </w:pPr>
            <w:r>
              <w:rPr>
                <w:sz w:val="24"/>
                <w:szCs w:val="24"/>
              </w:rPr>
              <w:t>8th</w:t>
            </w:r>
          </w:p>
          <w:p w14:paraId="2E4613D1" w14:textId="77777777" w:rsidR="00491D40" w:rsidRDefault="0037525F">
            <w:pPr>
              <w:rPr>
                <w:sz w:val="24"/>
                <w:szCs w:val="24"/>
              </w:rPr>
            </w:pPr>
            <w:r>
              <w:rPr>
                <w:sz w:val="24"/>
                <w:szCs w:val="24"/>
              </w:rPr>
              <w:t>Social Studies, Reading and Writing</w:t>
            </w:r>
          </w:p>
          <w:p w14:paraId="51731430" w14:textId="77777777" w:rsidR="00491D40" w:rsidRDefault="0037525F">
            <w:r>
              <w:rPr>
                <w:sz w:val="24"/>
                <w:szCs w:val="24"/>
              </w:rPr>
              <w:t xml:space="preserve">Kentucky Social Studies Standards </w:t>
            </w:r>
            <w:r>
              <w:t>KAS 8.H.CE.2</w:t>
            </w:r>
          </w:p>
          <w:p w14:paraId="46DA586B" w14:textId="77777777" w:rsidR="00491D40" w:rsidRDefault="0037525F">
            <w:r>
              <w:t>Common Core CCSS.ELA-LITERACY.WHST.6-8.9</w:t>
            </w:r>
          </w:p>
          <w:p w14:paraId="417ED8B0" w14:textId="77777777" w:rsidR="00491D40" w:rsidRDefault="0037525F">
            <w:r>
              <w:t>C3 Framework for Social Studies State Standards D</w:t>
            </w:r>
            <w:proofErr w:type="gramStart"/>
            <w:r>
              <w:t>2.His</w:t>
            </w:r>
            <w:proofErr w:type="gramEnd"/>
            <w:r>
              <w:t>.1.6-8, D2.His.3.6-8</w:t>
            </w:r>
          </w:p>
        </w:tc>
      </w:tr>
    </w:tbl>
    <w:p w14:paraId="044378BA" w14:textId="77777777" w:rsidR="00491D40" w:rsidRDefault="00491D40">
      <w:pPr>
        <w:rPr>
          <w:sz w:val="20"/>
          <w:szCs w:val="20"/>
          <w:highlight w:val="white"/>
        </w:rPr>
      </w:pPr>
    </w:p>
    <w:p w14:paraId="2B7B3BAF" w14:textId="77777777" w:rsidR="00491D40" w:rsidRDefault="00491D40">
      <w:pPr>
        <w:rPr>
          <w:sz w:val="20"/>
          <w:szCs w:val="20"/>
          <w:highlight w:val="white"/>
        </w:rPr>
      </w:pPr>
    </w:p>
    <w:tbl>
      <w:tblPr>
        <w:tblStyle w:val="a1"/>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91D40" w14:paraId="63550905" w14:textId="77777777">
        <w:trPr>
          <w:trHeight w:val="760"/>
        </w:trPr>
        <w:tc>
          <w:tcPr>
            <w:tcW w:w="10800" w:type="dxa"/>
            <w:shd w:val="clear" w:color="auto" w:fill="FFF2CC"/>
            <w:tcMar>
              <w:top w:w="100" w:type="dxa"/>
              <w:left w:w="100" w:type="dxa"/>
              <w:bottom w:w="100" w:type="dxa"/>
              <w:right w:w="100" w:type="dxa"/>
            </w:tcMar>
          </w:tcPr>
          <w:p w14:paraId="31AD6052" w14:textId="77777777" w:rsidR="00491D40" w:rsidRDefault="0037525F">
            <w:pPr>
              <w:widowControl w:val="0"/>
              <w:spacing w:line="240" w:lineRule="auto"/>
              <w:jc w:val="center"/>
              <w:rPr>
                <w:b/>
                <w:sz w:val="48"/>
                <w:szCs w:val="48"/>
              </w:rPr>
            </w:pPr>
            <w:r>
              <w:rPr>
                <w:b/>
                <w:sz w:val="48"/>
                <w:szCs w:val="48"/>
              </w:rPr>
              <w:t>Time Requirements</w:t>
            </w:r>
          </w:p>
        </w:tc>
      </w:tr>
      <w:tr w:rsidR="00491D40" w14:paraId="752F0B69" w14:textId="77777777">
        <w:tc>
          <w:tcPr>
            <w:tcW w:w="10800" w:type="dxa"/>
            <w:shd w:val="clear" w:color="auto" w:fill="auto"/>
            <w:tcMar>
              <w:top w:w="100" w:type="dxa"/>
              <w:left w:w="100" w:type="dxa"/>
              <w:bottom w:w="100" w:type="dxa"/>
              <w:right w:w="100" w:type="dxa"/>
            </w:tcMar>
          </w:tcPr>
          <w:p w14:paraId="5047FFD9" w14:textId="77777777" w:rsidR="00491D40" w:rsidRDefault="0037525F">
            <w:pPr>
              <w:rPr>
                <w:sz w:val="24"/>
                <w:szCs w:val="24"/>
              </w:rPr>
            </w:pPr>
            <w:r>
              <w:rPr>
                <w:sz w:val="24"/>
                <w:szCs w:val="24"/>
              </w:rPr>
              <w:t>60-120 minutes (optional extensions/taking informed action)</w:t>
            </w:r>
          </w:p>
        </w:tc>
      </w:tr>
    </w:tbl>
    <w:p w14:paraId="28D5A458" w14:textId="77777777" w:rsidR="00491D40" w:rsidRDefault="0037525F">
      <w:pPr>
        <w:rPr>
          <w:sz w:val="20"/>
          <w:szCs w:val="20"/>
          <w:highlight w:val="white"/>
        </w:rPr>
      </w:pPr>
      <w:r>
        <w:br w:type="page"/>
      </w:r>
    </w:p>
    <w:p w14:paraId="270E9EB5" w14:textId="77777777" w:rsidR="00491D40" w:rsidRDefault="0037525F">
      <w:pPr>
        <w:rPr>
          <w:sz w:val="20"/>
          <w:szCs w:val="20"/>
          <w:highlight w:val="white"/>
        </w:rPr>
      </w:pPr>
      <w:r>
        <w:rPr>
          <w:sz w:val="20"/>
          <w:szCs w:val="20"/>
          <w:highlight w:val="white"/>
        </w:rPr>
        <w:lastRenderedPageBreak/>
        <w:br/>
      </w:r>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91D40" w14:paraId="3E8E3E17" w14:textId="77777777">
        <w:trPr>
          <w:trHeight w:val="760"/>
        </w:trPr>
        <w:tc>
          <w:tcPr>
            <w:tcW w:w="10800" w:type="dxa"/>
            <w:shd w:val="clear" w:color="auto" w:fill="D9EAD3"/>
            <w:tcMar>
              <w:top w:w="100" w:type="dxa"/>
              <w:left w:w="100" w:type="dxa"/>
              <w:bottom w:w="100" w:type="dxa"/>
              <w:right w:w="100" w:type="dxa"/>
            </w:tcMar>
          </w:tcPr>
          <w:p w14:paraId="76EB5E51" w14:textId="77777777" w:rsidR="00491D40" w:rsidRDefault="0037525F">
            <w:pPr>
              <w:widowControl w:val="0"/>
              <w:spacing w:line="240" w:lineRule="auto"/>
              <w:jc w:val="center"/>
              <w:rPr>
                <w:b/>
                <w:sz w:val="48"/>
                <w:szCs w:val="48"/>
              </w:rPr>
            </w:pPr>
            <w:r>
              <w:rPr>
                <w:b/>
                <w:sz w:val="48"/>
                <w:szCs w:val="48"/>
              </w:rPr>
              <w:t>Chronicle Theme and Resources</w:t>
            </w:r>
          </w:p>
        </w:tc>
      </w:tr>
      <w:tr w:rsidR="00491D40" w14:paraId="668B9E68" w14:textId="77777777">
        <w:tc>
          <w:tcPr>
            <w:tcW w:w="10800" w:type="dxa"/>
            <w:shd w:val="clear" w:color="auto" w:fill="auto"/>
            <w:tcMar>
              <w:top w:w="100" w:type="dxa"/>
              <w:left w:w="100" w:type="dxa"/>
              <w:bottom w:w="100" w:type="dxa"/>
              <w:right w:w="100" w:type="dxa"/>
            </w:tcMar>
          </w:tcPr>
          <w:p w14:paraId="71F0CB26" w14:textId="77777777" w:rsidR="00491D40" w:rsidRDefault="0037525F">
            <w:pPr>
              <w:rPr>
                <w:sz w:val="24"/>
                <w:szCs w:val="24"/>
              </w:rPr>
            </w:pPr>
            <w:r>
              <w:rPr>
                <w:sz w:val="24"/>
                <w:szCs w:val="24"/>
              </w:rPr>
              <w:t>Before Emancipation, Separate is Not Equal</w:t>
            </w:r>
          </w:p>
          <w:p w14:paraId="3DAE65FE" w14:textId="77777777" w:rsidR="00491D40" w:rsidRDefault="0037525F">
            <w:pPr>
              <w:rPr>
                <w:sz w:val="24"/>
                <w:szCs w:val="24"/>
              </w:rPr>
            </w:pPr>
            <w:r>
              <w:rPr>
                <w:sz w:val="24"/>
                <w:szCs w:val="24"/>
              </w:rPr>
              <w:t>Person profiles of Hark, Abe Hawkins, Simon, Robert Harlan, Alonzo Clayton, and Anthony Hamilton</w:t>
            </w:r>
          </w:p>
        </w:tc>
      </w:tr>
    </w:tbl>
    <w:p w14:paraId="1548F385" w14:textId="77777777" w:rsidR="00491D40" w:rsidRDefault="00491D40">
      <w:pPr>
        <w:rPr>
          <w:sz w:val="20"/>
          <w:szCs w:val="20"/>
          <w:highlight w:val="white"/>
        </w:rPr>
      </w:pPr>
    </w:p>
    <w:p w14:paraId="2AB2F2D6" w14:textId="77777777" w:rsidR="00491D40" w:rsidRDefault="00491D40">
      <w:pPr>
        <w:rPr>
          <w:sz w:val="20"/>
          <w:szCs w:val="20"/>
          <w:highlight w:val="white"/>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91D40" w14:paraId="517BA09C" w14:textId="77777777">
        <w:trPr>
          <w:trHeight w:val="760"/>
        </w:trPr>
        <w:tc>
          <w:tcPr>
            <w:tcW w:w="10800" w:type="dxa"/>
            <w:shd w:val="clear" w:color="auto" w:fill="C9DAF8"/>
            <w:tcMar>
              <w:top w:w="100" w:type="dxa"/>
              <w:left w:w="100" w:type="dxa"/>
              <w:bottom w:w="100" w:type="dxa"/>
              <w:right w:w="100" w:type="dxa"/>
            </w:tcMar>
          </w:tcPr>
          <w:p w14:paraId="2E1AB417" w14:textId="77777777" w:rsidR="00491D40" w:rsidRDefault="0037525F">
            <w:pPr>
              <w:widowControl w:val="0"/>
              <w:spacing w:line="240" w:lineRule="auto"/>
              <w:jc w:val="center"/>
              <w:rPr>
                <w:b/>
                <w:sz w:val="48"/>
                <w:szCs w:val="48"/>
              </w:rPr>
            </w:pPr>
            <w:r>
              <w:rPr>
                <w:b/>
                <w:sz w:val="48"/>
                <w:szCs w:val="48"/>
              </w:rPr>
              <w:t>Goals</w:t>
            </w:r>
          </w:p>
        </w:tc>
      </w:tr>
      <w:tr w:rsidR="00491D40" w14:paraId="56C448C4" w14:textId="77777777">
        <w:tc>
          <w:tcPr>
            <w:tcW w:w="10800" w:type="dxa"/>
            <w:shd w:val="clear" w:color="auto" w:fill="auto"/>
            <w:tcMar>
              <w:top w:w="100" w:type="dxa"/>
              <w:left w:w="100" w:type="dxa"/>
              <w:bottom w:w="100" w:type="dxa"/>
              <w:right w:w="100" w:type="dxa"/>
            </w:tcMar>
          </w:tcPr>
          <w:p w14:paraId="755A7072" w14:textId="77777777" w:rsidR="0037525F" w:rsidRPr="0037525F" w:rsidRDefault="0037525F" w:rsidP="0037525F">
            <w:pPr>
              <w:pStyle w:val="ListParagraph"/>
              <w:numPr>
                <w:ilvl w:val="0"/>
                <w:numId w:val="1"/>
              </w:numPr>
              <w:spacing w:line="240" w:lineRule="auto"/>
            </w:pPr>
            <w:r w:rsidRPr="0037525F">
              <w:rPr>
                <w:sz w:val="24"/>
                <w:szCs w:val="24"/>
              </w:rPr>
              <w:t xml:space="preserve">Students will be able to </w:t>
            </w:r>
            <w:r w:rsidRPr="0037525F">
              <w:rPr>
                <w:sz w:val="24"/>
                <w:szCs w:val="24"/>
              </w:rPr>
              <w:t xml:space="preserve">navigate the map as a spatial tool to guide them through the person                      </w:t>
            </w:r>
            <w:r w:rsidRPr="0037525F">
              <w:rPr>
                <w:sz w:val="24"/>
                <w:szCs w:val="24"/>
              </w:rPr>
              <w:t>profiles.</w:t>
            </w:r>
          </w:p>
          <w:p w14:paraId="3A941BD5" w14:textId="77777777" w:rsidR="0037525F" w:rsidRPr="0037525F" w:rsidRDefault="0037525F" w:rsidP="0037525F">
            <w:pPr>
              <w:pStyle w:val="ListParagraph"/>
              <w:numPr>
                <w:ilvl w:val="0"/>
                <w:numId w:val="1"/>
              </w:numPr>
              <w:spacing w:line="240" w:lineRule="auto"/>
            </w:pPr>
            <w:r w:rsidRPr="0037525F">
              <w:rPr>
                <w:sz w:val="24"/>
                <w:szCs w:val="24"/>
              </w:rPr>
              <w:t xml:space="preserve">Students will be able to </w:t>
            </w:r>
            <w:r w:rsidRPr="0037525F">
              <w:rPr>
                <w:sz w:val="24"/>
                <w:szCs w:val="24"/>
              </w:rPr>
              <w:t>evaluate and analyze the provided sources.</w:t>
            </w:r>
          </w:p>
          <w:p w14:paraId="72739266" w14:textId="45251499" w:rsidR="00491D40" w:rsidRDefault="0037525F" w:rsidP="0037525F">
            <w:pPr>
              <w:pStyle w:val="ListParagraph"/>
              <w:numPr>
                <w:ilvl w:val="0"/>
                <w:numId w:val="1"/>
              </w:numPr>
              <w:spacing w:line="240" w:lineRule="auto"/>
            </w:pPr>
            <w:r w:rsidRPr="0037525F">
              <w:rPr>
                <w:sz w:val="24"/>
                <w:szCs w:val="24"/>
              </w:rPr>
              <w:t xml:space="preserve">Students will be able to </w:t>
            </w:r>
            <w:r w:rsidRPr="0037525F">
              <w:rPr>
                <w:sz w:val="24"/>
                <w:szCs w:val="24"/>
              </w:rPr>
              <w:t>synthesize a coherent, evidentiary claim that answers the guiding question.</w:t>
            </w:r>
          </w:p>
        </w:tc>
      </w:tr>
    </w:tbl>
    <w:p w14:paraId="43286ED4" w14:textId="77777777" w:rsidR="00491D40" w:rsidRDefault="00491D40">
      <w:pPr>
        <w:rPr>
          <w:sz w:val="20"/>
          <w:szCs w:val="20"/>
          <w:highlight w:val="white"/>
        </w:rPr>
      </w:pPr>
    </w:p>
    <w:p w14:paraId="01309CE0" w14:textId="77777777" w:rsidR="00491D40" w:rsidRDefault="00491D40">
      <w:pPr>
        <w:rPr>
          <w:sz w:val="20"/>
          <w:szCs w:val="20"/>
          <w:highlight w:val="white"/>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91D40" w14:paraId="10B25E21" w14:textId="77777777">
        <w:trPr>
          <w:trHeight w:val="760"/>
        </w:trPr>
        <w:tc>
          <w:tcPr>
            <w:tcW w:w="10800" w:type="dxa"/>
            <w:shd w:val="clear" w:color="auto" w:fill="D9D2E9"/>
            <w:tcMar>
              <w:top w:w="100" w:type="dxa"/>
              <w:left w:w="100" w:type="dxa"/>
              <w:bottom w:w="100" w:type="dxa"/>
              <w:right w:w="100" w:type="dxa"/>
            </w:tcMar>
          </w:tcPr>
          <w:p w14:paraId="40FEF965" w14:textId="77777777" w:rsidR="00491D40" w:rsidRDefault="0037525F">
            <w:pPr>
              <w:widowControl w:val="0"/>
              <w:spacing w:line="240" w:lineRule="auto"/>
              <w:jc w:val="center"/>
              <w:rPr>
                <w:b/>
                <w:sz w:val="48"/>
                <w:szCs w:val="48"/>
              </w:rPr>
            </w:pPr>
            <w:r>
              <w:rPr>
                <w:b/>
                <w:sz w:val="48"/>
                <w:szCs w:val="48"/>
              </w:rPr>
              <w:t>Guiding Question and Key Concepts</w:t>
            </w:r>
          </w:p>
        </w:tc>
      </w:tr>
      <w:tr w:rsidR="00491D40" w14:paraId="7CB3C32F" w14:textId="77777777">
        <w:tc>
          <w:tcPr>
            <w:tcW w:w="10800" w:type="dxa"/>
            <w:shd w:val="clear" w:color="auto" w:fill="auto"/>
            <w:tcMar>
              <w:top w:w="100" w:type="dxa"/>
              <w:left w:w="100" w:type="dxa"/>
              <w:bottom w:w="100" w:type="dxa"/>
              <w:right w:w="100" w:type="dxa"/>
            </w:tcMar>
          </w:tcPr>
          <w:p w14:paraId="25D1CD0A" w14:textId="77777777" w:rsidR="00491D40" w:rsidRDefault="0037525F">
            <w:pPr>
              <w:spacing w:line="240" w:lineRule="auto"/>
              <w:rPr>
                <w:sz w:val="24"/>
                <w:szCs w:val="24"/>
              </w:rPr>
            </w:pPr>
            <w:r>
              <w:rPr>
                <w:sz w:val="24"/>
                <w:szCs w:val="24"/>
              </w:rPr>
              <w:t>How did the role of African Americans in the horse industry expand on freedom?</w:t>
            </w:r>
          </w:p>
        </w:tc>
      </w:tr>
    </w:tbl>
    <w:p w14:paraId="1753D804" w14:textId="77777777" w:rsidR="00491D40" w:rsidRDefault="00491D40">
      <w:pPr>
        <w:rPr>
          <w:sz w:val="20"/>
          <w:szCs w:val="20"/>
          <w:highlight w:val="white"/>
        </w:rPr>
      </w:pPr>
    </w:p>
    <w:p w14:paraId="0692C156" w14:textId="77777777" w:rsidR="00491D40" w:rsidRDefault="00491D40">
      <w:pPr>
        <w:rPr>
          <w:sz w:val="20"/>
          <w:szCs w:val="20"/>
          <w:highlight w:val="white"/>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91D40" w14:paraId="40D306FD" w14:textId="77777777">
        <w:trPr>
          <w:trHeight w:val="760"/>
        </w:trPr>
        <w:tc>
          <w:tcPr>
            <w:tcW w:w="10800" w:type="dxa"/>
            <w:shd w:val="clear" w:color="auto" w:fill="E6B8AF"/>
            <w:tcMar>
              <w:top w:w="100" w:type="dxa"/>
              <w:left w:w="100" w:type="dxa"/>
              <w:bottom w:w="100" w:type="dxa"/>
              <w:right w:w="100" w:type="dxa"/>
            </w:tcMar>
          </w:tcPr>
          <w:p w14:paraId="470FB657" w14:textId="77777777" w:rsidR="00491D40" w:rsidRDefault="0037525F">
            <w:pPr>
              <w:widowControl w:val="0"/>
              <w:spacing w:line="240" w:lineRule="auto"/>
              <w:jc w:val="center"/>
              <w:rPr>
                <w:b/>
                <w:sz w:val="48"/>
                <w:szCs w:val="48"/>
              </w:rPr>
            </w:pPr>
            <w:r>
              <w:rPr>
                <w:b/>
                <w:sz w:val="48"/>
                <w:szCs w:val="48"/>
              </w:rPr>
              <w:t>Vocabulary</w:t>
            </w:r>
          </w:p>
        </w:tc>
      </w:tr>
      <w:tr w:rsidR="00491D40" w14:paraId="212667D4" w14:textId="77777777">
        <w:tc>
          <w:tcPr>
            <w:tcW w:w="10800" w:type="dxa"/>
            <w:shd w:val="clear" w:color="auto" w:fill="auto"/>
            <w:tcMar>
              <w:top w:w="100" w:type="dxa"/>
              <w:left w:w="100" w:type="dxa"/>
              <w:bottom w:w="100" w:type="dxa"/>
              <w:right w:w="100" w:type="dxa"/>
            </w:tcMar>
          </w:tcPr>
          <w:p w14:paraId="7ABFFA83" w14:textId="77777777" w:rsidR="00491D40" w:rsidRDefault="0037525F">
            <w:pPr>
              <w:rPr>
                <w:sz w:val="24"/>
                <w:szCs w:val="24"/>
              </w:rPr>
            </w:pPr>
            <w:r>
              <w:rPr>
                <w:sz w:val="24"/>
                <w:szCs w:val="24"/>
              </w:rPr>
              <w:t>Antebellum</w:t>
            </w:r>
          </w:p>
          <w:p w14:paraId="31FA754B" w14:textId="77777777" w:rsidR="00491D40" w:rsidRDefault="0037525F">
            <w:pPr>
              <w:rPr>
                <w:sz w:val="24"/>
                <w:szCs w:val="24"/>
              </w:rPr>
            </w:pPr>
            <w:r>
              <w:rPr>
                <w:sz w:val="24"/>
                <w:szCs w:val="24"/>
              </w:rPr>
              <w:t>Emancipation</w:t>
            </w:r>
          </w:p>
          <w:p w14:paraId="707281E7" w14:textId="77777777" w:rsidR="00491D40" w:rsidRDefault="0037525F">
            <w:pPr>
              <w:rPr>
                <w:sz w:val="24"/>
                <w:szCs w:val="24"/>
              </w:rPr>
            </w:pPr>
            <w:r>
              <w:rPr>
                <w:sz w:val="24"/>
                <w:szCs w:val="24"/>
              </w:rPr>
              <w:t>Freedom</w:t>
            </w:r>
          </w:p>
          <w:p w14:paraId="73EE7BF1" w14:textId="77777777" w:rsidR="00491D40" w:rsidRDefault="0037525F">
            <w:pPr>
              <w:rPr>
                <w:sz w:val="24"/>
                <w:szCs w:val="24"/>
              </w:rPr>
            </w:pPr>
            <w:r>
              <w:rPr>
                <w:sz w:val="24"/>
                <w:szCs w:val="24"/>
              </w:rPr>
              <w:t>Postbellum</w:t>
            </w:r>
          </w:p>
          <w:p w14:paraId="1F15C4AA" w14:textId="77777777" w:rsidR="00491D40" w:rsidRDefault="0037525F">
            <w:pPr>
              <w:rPr>
                <w:sz w:val="24"/>
                <w:szCs w:val="24"/>
              </w:rPr>
            </w:pPr>
            <w:r>
              <w:rPr>
                <w:sz w:val="24"/>
                <w:szCs w:val="24"/>
              </w:rPr>
              <w:t>Segregation</w:t>
            </w:r>
          </w:p>
        </w:tc>
      </w:tr>
    </w:tbl>
    <w:p w14:paraId="596A0116" w14:textId="77777777" w:rsidR="00491D40" w:rsidRDefault="00491D40">
      <w:pPr>
        <w:rPr>
          <w:sz w:val="20"/>
          <w:szCs w:val="20"/>
          <w:highlight w:val="white"/>
        </w:rPr>
      </w:pPr>
    </w:p>
    <w:p w14:paraId="1FC2DDA3" w14:textId="77777777" w:rsidR="00491D40" w:rsidRDefault="00491D40"/>
    <w:sectPr w:rsidR="00491D40">
      <w:pgSz w:w="12240" w:h="15840"/>
      <w:pgMar w:top="1440" w:right="1440" w:bottom="144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654458"/>
    <w:multiLevelType w:val="multilevel"/>
    <w:tmpl w:val="795A12D2"/>
    <w:lvl w:ilvl="0">
      <w:start w:val="1"/>
      <w:numFmt w:val="decimal"/>
      <w:lvlText w:val="%1."/>
      <w:lvlJc w:val="left"/>
      <w:pPr>
        <w:ind w:left="720" w:hanging="360"/>
      </w:pPr>
      <w:rPr>
        <w:rFonts w:ascii="Arial" w:eastAsia="Arial" w:hAnsi="Arial" w:cs="Arial"/>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846901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D40"/>
    <w:rsid w:val="0037525F"/>
    <w:rsid w:val="00491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6CE16"/>
  <w15:docId w15:val="{27A55A11-D79B-4E32-B1E5-A48BA5974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3752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Eley, Anthony (Kentucky Horse Park)</dc:creator>
  <cp:lastModifiedBy>Eley, Anthony (Kentucky Horse Park)</cp:lastModifiedBy>
  <cp:revision>2</cp:revision>
  <dcterms:created xsi:type="dcterms:W3CDTF">2023-04-26T18:33:00Z</dcterms:created>
  <dcterms:modified xsi:type="dcterms:W3CDTF">2023-04-26T18:33:00Z</dcterms:modified>
</cp:coreProperties>
</file>